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10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468"/>
      </w:tblGrid>
      <w:tr w:rsidR="00FF4BBA" w14:paraId="31D26FD8" w14:textId="77777777" w:rsidTr="00275DF9">
        <w:tc>
          <w:tcPr>
            <w:tcW w:w="4858" w:type="dxa"/>
          </w:tcPr>
          <w:p w14:paraId="0EDC63E9" w14:textId="77777777" w:rsidR="00FF4BBA" w:rsidRDefault="00FF4BBA" w:rsidP="00275DF9">
            <w:pPr>
              <w:spacing w:line="312" w:lineRule="auto"/>
              <w:jc w:val="right"/>
            </w:pPr>
            <w:r>
              <w:rPr>
                <w:noProof/>
              </w:rPr>
              <w:drawing>
                <wp:inline distT="0" distB="0" distL="0" distR="0" wp14:anchorId="40C02939" wp14:editId="26FA4D38">
                  <wp:extent cx="2124075" cy="70383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878" cy="71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14:paraId="37F19618" w14:textId="77777777" w:rsidR="00FF4BBA" w:rsidRDefault="00FF4BBA" w:rsidP="00275DF9">
            <w:pPr>
              <w:spacing w:line="312" w:lineRule="auto"/>
            </w:pPr>
          </w:p>
          <w:p w14:paraId="4A17F641" w14:textId="77777777" w:rsidR="00FF4BBA" w:rsidRDefault="00FF4BBA" w:rsidP="00275DF9">
            <w:pPr>
              <w:pStyle w:val="Header"/>
              <w:tabs>
                <w:tab w:val="clear" w:pos="4153"/>
              </w:tabs>
              <w:spacing w:line="312" w:lineRule="auto"/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  <w:p w14:paraId="144EE5CC" w14:textId="77777777" w:rsidR="00FF4BBA" w:rsidRPr="00460078" w:rsidRDefault="00FF4BBA" w:rsidP="00275DF9">
            <w:pPr>
              <w:pStyle w:val="Header"/>
              <w:tabs>
                <w:tab w:val="clear" w:pos="4153"/>
              </w:tabs>
              <w:spacing w:line="312" w:lineRule="auto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Kết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nối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>giá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FFC000"/>
                <w:sz w:val="24"/>
                <w:szCs w:val="24"/>
              </w:rPr>
              <w:t>trị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khách</w:t>
            </w:r>
            <w:proofErr w:type="spellEnd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600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hàng</w:t>
            </w:r>
            <w:proofErr w:type="spellEnd"/>
          </w:p>
        </w:tc>
      </w:tr>
    </w:tbl>
    <w:p w14:paraId="711975CD" w14:textId="77777777" w:rsidR="00FF4BBA" w:rsidRDefault="00FF4BBA" w:rsidP="00FF4BBA">
      <w:pPr>
        <w:spacing w:line="312" w:lineRule="auto"/>
      </w:pPr>
    </w:p>
    <w:p w14:paraId="78C92C7C" w14:textId="77777777" w:rsidR="00AD6C90" w:rsidRPr="009761F2" w:rsidRDefault="00AD6C90" w:rsidP="00112458">
      <w:pPr>
        <w:spacing w:line="312" w:lineRule="auto"/>
        <w:rPr>
          <w:b/>
          <w:sz w:val="20"/>
          <w:szCs w:val="20"/>
        </w:rPr>
      </w:pPr>
    </w:p>
    <w:p w14:paraId="58BC8A5B" w14:textId="77777777" w:rsidR="00FF4BBA" w:rsidRDefault="00E61806" w:rsidP="00FF4BBA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DANH MỤC TÀI LIỆU CÔNG BỐ THÔNG TIN</w:t>
      </w:r>
    </w:p>
    <w:p w14:paraId="42D68A60" w14:textId="77777777" w:rsidR="004B65F6" w:rsidRPr="004B65F6" w:rsidRDefault="004B65F6" w:rsidP="00FF4BBA">
      <w:pPr>
        <w:spacing w:line="312" w:lineRule="auto"/>
        <w:jc w:val="center"/>
        <w:rPr>
          <w:b/>
          <w:sz w:val="18"/>
          <w:szCs w:val="18"/>
        </w:rPr>
      </w:pPr>
    </w:p>
    <w:p w14:paraId="3693AA0E" w14:textId="77777777" w:rsidR="00AD6C90" w:rsidRPr="009761F2" w:rsidRDefault="00AD6C90" w:rsidP="00F443D1">
      <w:pPr>
        <w:tabs>
          <w:tab w:val="left" w:leader="dot" w:pos="0"/>
        </w:tabs>
        <w:spacing w:line="288" w:lineRule="auto"/>
        <w:jc w:val="both"/>
        <w:rPr>
          <w:b/>
          <w:sz w:val="12"/>
          <w:szCs w:val="12"/>
          <w:lang w:val="nl-NL"/>
        </w:rPr>
      </w:pP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720"/>
        <w:gridCol w:w="5800"/>
        <w:gridCol w:w="1500"/>
        <w:gridCol w:w="1420"/>
      </w:tblGrid>
      <w:tr w:rsidR="00FF4BBA" w:rsidRPr="00E63B4F" w14:paraId="33AD7309" w14:textId="77777777" w:rsidTr="0056795B">
        <w:trPr>
          <w:trHeight w:val="559"/>
          <w:jc w:val="center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A916" w14:textId="6EFA1F13" w:rsidR="00FF4BBA" w:rsidRPr="00E63B4F" w:rsidRDefault="00107D50" w:rsidP="000B2A3A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63B4F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368E34" w14:textId="31C4BDCE" w:rsidR="00FF4BBA" w:rsidRPr="00E63B4F" w:rsidRDefault="00107D50" w:rsidP="006C794E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63B4F">
              <w:rPr>
                <w:rFonts w:eastAsia="Times New Roman" w:cs="Times New Roman"/>
                <w:b/>
                <w:bCs/>
                <w:color w:val="000000"/>
                <w:sz w:val="22"/>
              </w:rPr>
              <w:t>TÊN TÀI LIỆU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393A" w14:textId="4ADEB81A" w:rsidR="00FF4BBA" w:rsidRPr="00E63B4F" w:rsidRDefault="00107D50" w:rsidP="008B3315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63B4F">
              <w:rPr>
                <w:rFonts w:eastAsia="Times New Roman"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6C32" w14:textId="69AE0F2A" w:rsidR="00FF4BBA" w:rsidRPr="00E63B4F" w:rsidRDefault="00107D50" w:rsidP="00BA735C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63B4F">
              <w:rPr>
                <w:rFonts w:eastAsia="Times New Roman" w:cs="Times New Roman"/>
                <w:b/>
                <w:bCs/>
                <w:color w:val="000000"/>
                <w:sz w:val="22"/>
              </w:rPr>
              <w:t>GHI CHÚ</w:t>
            </w:r>
          </w:p>
        </w:tc>
      </w:tr>
      <w:tr w:rsidR="00931BAA" w:rsidRPr="00E63B4F" w14:paraId="17A9B719" w14:textId="77777777" w:rsidTr="00E63B4F">
        <w:trPr>
          <w:trHeight w:val="1521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F4F1" w14:textId="77777777" w:rsidR="00931BAA" w:rsidRPr="00E63B4F" w:rsidRDefault="00931BAA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1B7EC4" w14:textId="6433FA2B" w:rsidR="00931BAA" w:rsidRPr="00E63B4F" w:rsidRDefault="00E2682C" w:rsidP="006C794E">
            <w:pPr>
              <w:spacing w:line="312" w:lineRule="auto"/>
              <w:jc w:val="both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>Văn bản số</w:t>
            </w:r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3766/TLĐ-TC</w:t>
            </w: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 ngày </w:t>
            </w:r>
            <w:r w:rsidRPr="00E63B4F">
              <w:rPr>
                <w:rFonts w:eastAsia="Times New Roman" w:cs="Times New Roman"/>
                <w:color w:val="000000"/>
                <w:sz w:val="22"/>
              </w:rPr>
              <w:t>03</w:t>
            </w: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>/</w:t>
            </w:r>
            <w:r w:rsidRPr="00E63B4F">
              <w:rPr>
                <w:rFonts w:eastAsia="Times New Roman" w:cs="Times New Roman"/>
                <w:color w:val="000000"/>
                <w:sz w:val="22"/>
              </w:rPr>
              <w:t>04</w:t>
            </w: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/2025 của Tổng Liên đoàn Lao động Việt Nam v/v Phê duyệt Phương án chuyển nhượng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vốn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giá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khởi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điểm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đấu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giá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>cổ phần</w:t>
            </w:r>
            <w:r w:rsidRPr="00E63B4F" w:rsidDel="00C941CC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 </w:t>
            </w: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>tại Công ty cổ phần Khách sạn Công đoàn Thịnh Long;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0E67" w14:textId="70AE7B70" w:rsidR="00931BAA" w:rsidRPr="00E63B4F" w:rsidRDefault="00931BAA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46028" w14:textId="77777777" w:rsidR="00931BAA" w:rsidRPr="00E63B4F" w:rsidRDefault="00931BAA" w:rsidP="006F6009">
            <w:pPr>
              <w:spacing w:line="312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E900F9" w:rsidRPr="00E63B4F" w14:paraId="32CBB99E" w14:textId="77777777" w:rsidTr="00E63B4F">
        <w:trPr>
          <w:trHeight w:val="172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243B" w14:textId="72620B67" w:rsidR="00E900F9" w:rsidRPr="00E63B4F" w:rsidRDefault="00E900F9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E4D873" w14:textId="2EB7FA60" w:rsidR="00E900F9" w:rsidRPr="00E63B4F" w:rsidRDefault="00BC5772" w:rsidP="006C794E">
            <w:pPr>
              <w:widowControl w:val="0"/>
              <w:tabs>
                <w:tab w:val="left" w:pos="426"/>
              </w:tabs>
              <w:spacing w:before="60" w:after="60" w:line="324" w:lineRule="auto"/>
              <w:jc w:val="both"/>
              <w:rPr>
                <w:rFonts w:cs="Times New Roman"/>
                <w:bCs/>
                <w:color w:val="000000" w:themeColor="text1"/>
              </w:rPr>
            </w:pP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Quyết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định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số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60/QĐ-HĐTV </w:t>
            </w: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ngày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09</w:t>
            </w:r>
            <w:r w:rsidRPr="00E63B4F">
              <w:rPr>
                <w:rFonts w:cs="Times New Roman"/>
                <w:bCs/>
                <w:color w:val="000000" w:themeColor="text1"/>
                <w:sz w:val="22"/>
                <w:lang w:val="vi-VN"/>
              </w:rPr>
              <w:t>/</w:t>
            </w:r>
            <w:r w:rsidRPr="00E63B4F">
              <w:rPr>
                <w:rFonts w:cs="Times New Roman"/>
                <w:bCs/>
                <w:color w:val="000000" w:themeColor="text1"/>
                <w:sz w:val="22"/>
              </w:rPr>
              <w:t>04</w:t>
            </w:r>
            <w:r w:rsidRPr="00E63B4F">
              <w:rPr>
                <w:rFonts w:cs="Times New Roman"/>
                <w:bCs/>
                <w:color w:val="000000" w:themeColor="text1"/>
                <w:sz w:val="22"/>
                <w:lang w:val="vi-VN"/>
              </w:rPr>
              <w:t>/2025</w:t>
            </w:r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của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Công ty TNHH MTV Du </w:t>
            </w: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lịch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Công </w:t>
            </w: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đoàn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Việt Nam </w:t>
            </w: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về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>việc</w:t>
            </w:r>
            <w:proofErr w:type="spellEnd"/>
            <w:r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Phương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án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đấu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giá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01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lô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gồm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toàn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bộ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1.078.700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cổ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phần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là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phần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vốn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góp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của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Công ty TNHH MTV Du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lịch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Công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đoàn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Việt Nam </w:t>
            </w:r>
            <w:proofErr w:type="spellStart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>tại</w:t>
            </w:r>
            <w:proofErr w:type="spellEnd"/>
            <w:r w:rsidR="008B7D8A" w:rsidRPr="00E63B4F">
              <w:rPr>
                <w:rFonts w:cs="Times New Roman"/>
                <w:bCs/>
                <w:color w:val="000000" w:themeColor="text1"/>
                <w:sz w:val="22"/>
              </w:rPr>
              <w:t xml:space="preserve"> </w:t>
            </w:r>
            <w:r w:rsidR="008B7D8A" w:rsidRPr="00E63B4F">
              <w:rPr>
                <w:rFonts w:cs="Times New Roman"/>
                <w:bCs/>
                <w:color w:val="000000" w:themeColor="text1"/>
                <w:sz w:val="22"/>
                <w:lang w:val="vi-VN"/>
              </w:rPr>
              <w:t>Công ty cổ phần Khách sạn Công đoàn Thịnh Long</w:t>
            </w:r>
            <w:r w:rsidR="008B7D8A" w:rsidRPr="00E63B4F">
              <w:rPr>
                <w:rFonts w:cs="Times New Roman"/>
                <w:bCs/>
                <w:color w:val="000000" w:themeColor="text1"/>
                <w:sz w:val="22"/>
                <w:lang w:val="pt-BR"/>
              </w:rPr>
              <w:t>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0BEFE" w14:textId="03B21CCE" w:rsidR="00E900F9" w:rsidRPr="00E63B4F" w:rsidRDefault="00E900F9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02FE" w14:textId="77777777" w:rsidR="00E900F9" w:rsidRPr="00E63B4F" w:rsidRDefault="00E900F9" w:rsidP="006F6009">
            <w:pPr>
              <w:spacing w:line="312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E43D5F" w:rsidRPr="00E63B4F" w14:paraId="67E9DD91" w14:textId="77777777" w:rsidTr="00E63B4F">
        <w:trPr>
          <w:trHeight w:val="158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421E" w14:textId="11E5E8C2" w:rsidR="00E43D5F" w:rsidRPr="00E63B4F" w:rsidRDefault="00E43D5F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2D39B6" w14:textId="5C65457A" w:rsidR="00E43D5F" w:rsidRPr="00E63B4F" w:rsidRDefault="00E43D5F" w:rsidP="006C794E">
            <w:pPr>
              <w:widowControl w:val="0"/>
              <w:tabs>
                <w:tab w:val="left" w:pos="426"/>
              </w:tabs>
              <w:spacing w:before="60" w:after="60" w:line="324" w:lineRule="auto"/>
              <w:jc w:val="both"/>
              <w:rPr>
                <w:rFonts w:cs="Times New Roman"/>
                <w:bCs/>
                <w:color w:val="000000" w:themeColor="text1"/>
              </w:rPr>
            </w:pPr>
            <w:r w:rsidRPr="00E63B4F">
              <w:rPr>
                <w:rFonts w:eastAsia="Arial" w:cs="Times New Roman"/>
                <w:sz w:val="22"/>
              </w:rPr>
              <w:t>V</w:t>
            </w:r>
            <w:r w:rsidRPr="00E63B4F">
              <w:rPr>
                <w:rFonts w:eastAsia="Arial" w:cs="Times New Roman" w:hint="eastAsia"/>
                <w:sz w:val="22"/>
              </w:rPr>
              <w:t>ă</w:t>
            </w:r>
            <w:r w:rsidRPr="00E63B4F">
              <w:rPr>
                <w:rFonts w:eastAsia="Arial" w:cs="Times New Roman"/>
                <w:sz w:val="22"/>
              </w:rPr>
              <w:t xml:space="preserve">n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bản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số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r w:rsidR="00637484">
              <w:rPr>
                <w:rFonts w:eastAsia="Arial" w:cs="Times New Roman"/>
                <w:sz w:val="22"/>
              </w:rPr>
              <w:t>336</w:t>
            </w:r>
            <w:r w:rsidRPr="00E63B4F">
              <w:rPr>
                <w:rFonts w:eastAsia="Arial" w:cs="Times New Roman"/>
                <w:sz w:val="22"/>
              </w:rPr>
              <w:t>/TL</w:t>
            </w:r>
            <w:r w:rsidRPr="00E63B4F">
              <w:rPr>
                <w:rFonts w:eastAsia="Arial" w:cs="Times New Roman" w:hint="eastAsia"/>
                <w:sz w:val="22"/>
              </w:rPr>
              <w:t>Đ</w:t>
            </w:r>
            <w:r w:rsidRPr="00E63B4F">
              <w:rPr>
                <w:rFonts w:eastAsia="Arial" w:cs="Times New Roman"/>
                <w:sz w:val="22"/>
              </w:rPr>
              <w:t>-CTC</w:t>
            </w:r>
            <w:r w:rsidRPr="00E63B4F">
              <w:rPr>
                <w:rFonts w:eastAsia="Arial" w:cs="Times New Roman" w:hint="eastAsia"/>
                <w:sz w:val="22"/>
              </w:rPr>
              <w:t>Đ</w:t>
            </w:r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ngày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r w:rsidR="00637484">
              <w:rPr>
                <w:rFonts w:eastAsia="Arial" w:cs="Times New Roman"/>
                <w:sz w:val="22"/>
              </w:rPr>
              <w:t>22/8</w:t>
            </w:r>
            <w:r w:rsidRPr="00E63B4F">
              <w:rPr>
                <w:rFonts w:eastAsia="Arial" w:cs="Times New Roman"/>
                <w:sz w:val="22"/>
              </w:rPr>
              <w:t xml:space="preserve">/2025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của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Tổng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Liên </w:t>
            </w:r>
            <w:proofErr w:type="spellStart"/>
            <w:r w:rsidRPr="00E63B4F">
              <w:rPr>
                <w:rFonts w:eastAsia="Arial" w:cs="Times New Roman" w:hint="eastAsia"/>
                <w:sz w:val="22"/>
              </w:rPr>
              <w:t>đ</w:t>
            </w:r>
            <w:r w:rsidRPr="00E63B4F">
              <w:rPr>
                <w:rFonts w:eastAsia="Arial" w:cs="Times New Roman"/>
                <w:sz w:val="22"/>
              </w:rPr>
              <w:t>oàn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Lao </w:t>
            </w:r>
            <w:proofErr w:type="spellStart"/>
            <w:r w:rsidRPr="00E63B4F">
              <w:rPr>
                <w:rFonts w:eastAsia="Arial" w:cs="Times New Roman" w:hint="eastAsia"/>
                <w:sz w:val="22"/>
              </w:rPr>
              <w:t>đ</w:t>
            </w:r>
            <w:r w:rsidRPr="00E63B4F">
              <w:rPr>
                <w:rFonts w:eastAsia="Arial" w:cs="Times New Roman"/>
                <w:sz w:val="22"/>
              </w:rPr>
              <w:t>ộng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Việt Nam v/v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Phê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duyệt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Ph</w:t>
            </w:r>
            <w:r w:rsidRPr="00E63B4F">
              <w:rPr>
                <w:rFonts w:eastAsia="Arial" w:cs="Times New Roman" w:hint="eastAsia"/>
                <w:sz w:val="22"/>
              </w:rPr>
              <w:t>ươ</w:t>
            </w:r>
            <w:r w:rsidRPr="00E63B4F">
              <w:rPr>
                <w:rFonts w:eastAsia="Arial" w:cs="Times New Roman"/>
                <w:sz w:val="22"/>
              </w:rPr>
              <w:t xml:space="preserve">ng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án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chuyển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nh</w:t>
            </w:r>
            <w:r w:rsidRPr="00E63B4F">
              <w:rPr>
                <w:rFonts w:eastAsia="Arial" w:cs="Times New Roman" w:hint="eastAsia"/>
                <w:sz w:val="22"/>
              </w:rPr>
              <w:t>ư</w:t>
            </w:r>
            <w:r w:rsidRPr="00E63B4F">
              <w:rPr>
                <w:rFonts w:eastAsia="Arial" w:cs="Times New Roman"/>
                <w:sz w:val="22"/>
              </w:rPr>
              <w:t>ợng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vốn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và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giá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khởi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 w:hint="eastAsia"/>
                <w:sz w:val="22"/>
              </w:rPr>
              <w:t>đ</w:t>
            </w:r>
            <w:r w:rsidRPr="00E63B4F">
              <w:rPr>
                <w:rFonts w:eastAsia="Arial" w:cs="Times New Roman"/>
                <w:sz w:val="22"/>
              </w:rPr>
              <w:t>iểm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 w:hint="eastAsia"/>
                <w:sz w:val="22"/>
              </w:rPr>
              <w:t>đ</w:t>
            </w:r>
            <w:r w:rsidRPr="00E63B4F">
              <w:rPr>
                <w:rFonts w:eastAsia="Arial" w:cs="Times New Roman"/>
                <w:sz w:val="22"/>
              </w:rPr>
              <w:t>ấu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giá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cổ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phần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tại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Công ty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cổ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phần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Khách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</w:t>
            </w:r>
            <w:proofErr w:type="spellStart"/>
            <w:r w:rsidRPr="00E63B4F">
              <w:rPr>
                <w:rFonts w:eastAsia="Arial" w:cs="Times New Roman"/>
                <w:sz w:val="22"/>
              </w:rPr>
              <w:t>sạn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Công </w:t>
            </w:r>
            <w:proofErr w:type="spellStart"/>
            <w:r w:rsidRPr="00E63B4F">
              <w:rPr>
                <w:rFonts w:eastAsia="Arial" w:cs="Times New Roman" w:hint="eastAsia"/>
                <w:sz w:val="22"/>
              </w:rPr>
              <w:t>đ</w:t>
            </w:r>
            <w:r w:rsidRPr="00E63B4F">
              <w:rPr>
                <w:rFonts w:eastAsia="Arial" w:cs="Times New Roman"/>
                <w:sz w:val="22"/>
              </w:rPr>
              <w:t>oàn</w:t>
            </w:r>
            <w:proofErr w:type="spellEnd"/>
            <w:r w:rsidRPr="00E63B4F">
              <w:rPr>
                <w:rFonts w:eastAsia="Arial" w:cs="Times New Roman"/>
                <w:sz w:val="22"/>
              </w:rPr>
              <w:t xml:space="preserve"> Thịnh Long;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D988" w14:textId="612ACB88" w:rsidR="00E43D5F" w:rsidRPr="00E63B4F" w:rsidRDefault="00B57D2E" w:rsidP="008B3315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E4CA" w14:textId="77777777" w:rsidR="00E43D5F" w:rsidRPr="00E63B4F" w:rsidRDefault="00E43D5F" w:rsidP="006F6009">
            <w:pPr>
              <w:spacing w:line="312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31BAA" w:rsidRPr="00E63B4F" w14:paraId="09A8F78C" w14:textId="77777777" w:rsidTr="00E63B4F">
        <w:trPr>
          <w:trHeight w:val="164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0861" w14:textId="595BAF81" w:rsidR="00931BAA" w:rsidRPr="00E63B4F" w:rsidRDefault="00B3751D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686A52" w14:textId="6ED3455E" w:rsidR="00931BAA" w:rsidRPr="00E63B4F" w:rsidRDefault="00845343" w:rsidP="006C794E">
            <w:pPr>
              <w:spacing w:line="312" w:lineRule="auto"/>
              <w:jc w:val="both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 xml:space="preserve">Quyết định số </w:t>
            </w:r>
            <w:r w:rsidR="00E927BA">
              <w:rPr>
                <w:rFonts w:eastAsia="Times New Roman" w:cs="Times New Roman"/>
                <w:color w:val="000000"/>
                <w:sz w:val="22"/>
                <w:lang w:val="pt-BR"/>
              </w:rPr>
              <w:t>163</w:t>
            </w:r>
            <w:r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 xml:space="preserve">/QĐ-DLCĐ ngày </w:t>
            </w:r>
            <w:r w:rsidR="00E927BA">
              <w:rPr>
                <w:rFonts w:eastAsia="Times New Roman" w:cs="Times New Roman"/>
                <w:bCs/>
                <w:color w:val="000000"/>
                <w:sz w:val="22"/>
              </w:rPr>
              <w:t>03/9</w:t>
            </w:r>
            <w:r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 xml:space="preserve">/2025 của </w:t>
            </w: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Công ty TNHH MTV Du lịch Công đoàn Việt Nam </w:t>
            </w:r>
            <w:r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 xml:space="preserve">về việc phê duyệt Bản công bố thông tin, chấp thuận Quy chế  đấu giá cổ phần của </w:t>
            </w: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>Công ty TNHH MTV Du lịch Công đoàn Việt Nam</w:t>
            </w:r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tại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>Công ty cổ phần Khách sạn công đoàn Thịnh Long</w:t>
            </w:r>
            <w:r w:rsidR="005F4DC5"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 xml:space="preserve"> (Lần </w:t>
            </w:r>
            <w:r w:rsidR="009E0E18">
              <w:rPr>
                <w:rFonts w:eastAsia="Times New Roman" w:cs="Times New Roman"/>
                <w:color w:val="000000"/>
                <w:sz w:val="22"/>
                <w:lang w:val="pt-BR"/>
              </w:rPr>
              <w:t>3</w:t>
            </w:r>
            <w:r w:rsidR="005F4DC5"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>)</w:t>
            </w:r>
            <w:r w:rsidR="001B0C1B"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>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BA03" w14:textId="70C27BDC" w:rsidR="00931BAA" w:rsidRPr="00E63B4F" w:rsidRDefault="00931BAA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BFFB" w14:textId="77777777" w:rsidR="00931BAA" w:rsidRPr="00E63B4F" w:rsidRDefault="00931BAA" w:rsidP="006F6009">
            <w:pPr>
              <w:spacing w:line="312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31BAA" w:rsidRPr="00E63B4F" w14:paraId="78E20536" w14:textId="77777777" w:rsidTr="000C584F">
        <w:trPr>
          <w:trHeight w:val="85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76F9" w14:textId="292C0D6C" w:rsidR="00931BAA" w:rsidRPr="00E63B4F" w:rsidRDefault="00B3751D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3A0261" w14:textId="77777777" w:rsidR="00931BAA" w:rsidRPr="00E63B4F" w:rsidRDefault="00931BAA" w:rsidP="006C794E">
            <w:pPr>
              <w:spacing w:line="312" w:lineRule="auto"/>
              <w:jc w:val="both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Bản công bố thông tin theo mẫu quy định tại Phụ lục II ban hành kèm theo Nghị định số </w:t>
            </w:r>
            <w:r>
              <w:fldChar w:fldCharType="begin"/>
            </w:r>
            <w:r>
              <w:instrText>HYPERLINK "https://thuvienphapluat.vn/van-ban/doanh-nghiep/nghi-dinh-32-2018-nd-cp-sua-doi-nghi-dinh-91-2015-nd-cp-dau-tu-von-nha-nuoc-vao-doanh-nghiep-352927.aspx" \t "_blank" \o "Nghị định 32/2018/NĐ-CP"</w:instrText>
            </w:r>
            <w:r>
              <w:fldChar w:fldCharType="separate"/>
            </w:r>
            <w:r w:rsidRPr="00E63B4F">
              <w:rPr>
                <w:rStyle w:val="Hyperlink"/>
                <w:rFonts w:eastAsia="Times New Roman" w:cs="Times New Roman"/>
                <w:sz w:val="22"/>
                <w:lang w:val="vi-VN"/>
              </w:rPr>
              <w:t>140/2020/NĐ-CP</w:t>
            </w:r>
            <w:r>
              <w:fldChar w:fldCharType="end"/>
            </w:r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077F" w14:textId="701690A5" w:rsidR="00931BAA" w:rsidRPr="00E63B4F" w:rsidRDefault="00931BAA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7F2E" w14:textId="77777777" w:rsidR="00931BAA" w:rsidRPr="00E63B4F" w:rsidRDefault="00931BAA" w:rsidP="006F6009">
            <w:pPr>
              <w:spacing w:line="312" w:lineRule="auto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</w:rPr>
              <w:softHyphen/>
            </w:r>
          </w:p>
        </w:tc>
      </w:tr>
      <w:tr w:rsidR="00931BAA" w:rsidRPr="00E63B4F" w14:paraId="2932BB82" w14:textId="77777777" w:rsidTr="00E63B4F">
        <w:trPr>
          <w:trHeight w:val="127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EF26A" w14:textId="4F522DE3" w:rsidR="00931BAA" w:rsidRPr="00E63B4F" w:rsidRDefault="00B3751D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817C" w14:textId="373A2A75" w:rsidR="00931BAA" w:rsidRPr="00E63B4F" w:rsidRDefault="00931BAA" w:rsidP="006C794E">
            <w:pPr>
              <w:spacing w:line="312" w:lineRule="auto"/>
              <w:jc w:val="both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Tài liệu chứng minh </w:t>
            </w:r>
            <w:r w:rsidR="00E33952"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Công ty TNHH MTV Du lịch Công đoàn Việt Nam </w:t>
            </w: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>là chủ sở hữu hợp pháp của lô cổ phần đăng ký bán</w:t>
            </w:r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(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Sổ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đăng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ký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cổ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đông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,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Giấy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chứng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nhận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sở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hữu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cổ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phần</w:t>
            </w:r>
            <w:proofErr w:type="spellEnd"/>
            <w:r w:rsidRPr="00E63B4F">
              <w:rPr>
                <w:rFonts w:eastAsia="Times New Roman" w:cs="Times New Roman"/>
                <w:i/>
                <w:color w:val="000000"/>
                <w:sz w:val="22"/>
              </w:rPr>
              <w:t>…).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35A2" w14:textId="77777777" w:rsidR="00931BAA" w:rsidRPr="00E63B4F" w:rsidRDefault="00931BAA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</w:p>
          <w:p w14:paraId="27405B8C" w14:textId="2CB7EF2C" w:rsidR="00931BAA" w:rsidRPr="00E63B4F" w:rsidRDefault="00931BAA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DF93" w14:textId="77777777" w:rsidR="00931BAA" w:rsidRPr="00E63B4F" w:rsidRDefault="00931BAA" w:rsidP="006F6009">
            <w:pPr>
              <w:spacing w:line="312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50202D0" w14:textId="77777777" w:rsidR="00931BAA" w:rsidRPr="00E63B4F" w:rsidRDefault="00931BAA" w:rsidP="006F6009">
            <w:pPr>
              <w:spacing w:line="312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1BAA" w:rsidRPr="00E63B4F" w14:paraId="50233439" w14:textId="77777777" w:rsidTr="00FA3846">
        <w:trPr>
          <w:trHeight w:val="126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2AD1" w14:textId="74394F5F" w:rsidR="00931BAA" w:rsidRPr="00E63B4F" w:rsidRDefault="00B3751D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5D6F" w14:textId="6FDF9245" w:rsidR="00931BAA" w:rsidRPr="00E63B4F" w:rsidRDefault="00931BAA" w:rsidP="006C794E">
            <w:pPr>
              <w:spacing w:line="312" w:lineRule="auto"/>
              <w:jc w:val="both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 xml:space="preserve">Quy chế đấu giá cổ phần của </w:t>
            </w:r>
            <w:r w:rsidR="001467BC"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 xml:space="preserve">của </w:t>
            </w:r>
            <w:r w:rsidR="001467BC" w:rsidRPr="00E63B4F">
              <w:rPr>
                <w:rFonts w:eastAsia="Times New Roman" w:cs="Times New Roman"/>
                <w:color w:val="000000"/>
                <w:sz w:val="22"/>
                <w:lang w:val="vi-VN"/>
              </w:rPr>
              <w:t>Công ty TNHH MTV Du lịch Công đoàn Việt Nam</w:t>
            </w:r>
            <w:r w:rsidR="001467BC"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1467BC" w:rsidRPr="00E63B4F">
              <w:rPr>
                <w:rFonts w:eastAsia="Times New Roman" w:cs="Times New Roman"/>
                <w:color w:val="000000"/>
                <w:sz w:val="22"/>
              </w:rPr>
              <w:t>tại</w:t>
            </w:r>
            <w:proofErr w:type="spellEnd"/>
            <w:r w:rsidR="001467BC"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1467BC"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>Công ty cổ phần Khách sạn công đoàn Thịnh Long</w:t>
            </w:r>
            <w:r w:rsidR="00256C50"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 xml:space="preserve"> (Lần </w:t>
            </w:r>
            <w:r w:rsidR="009E0E18">
              <w:rPr>
                <w:rFonts w:eastAsia="Times New Roman" w:cs="Times New Roman"/>
                <w:color w:val="000000"/>
                <w:sz w:val="22"/>
                <w:lang w:val="pt-BR"/>
              </w:rPr>
              <w:t>3</w:t>
            </w:r>
            <w:r w:rsidR="00256C50" w:rsidRPr="00E63B4F">
              <w:rPr>
                <w:rFonts w:eastAsia="Times New Roman" w:cs="Times New Roman"/>
                <w:color w:val="000000"/>
                <w:sz w:val="22"/>
                <w:lang w:val="pt-BR"/>
              </w:rPr>
              <w:t>)</w:t>
            </w:r>
            <w:r w:rsidR="00996DA2" w:rsidRPr="00E63B4F"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2612" w14:textId="275F2DBF" w:rsidR="00931BAA" w:rsidRPr="00E63B4F" w:rsidRDefault="00931BAA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439A" w14:textId="77777777" w:rsidR="00931BAA" w:rsidRPr="00E63B4F" w:rsidRDefault="00931BAA" w:rsidP="006F6009">
            <w:pPr>
              <w:spacing w:line="312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931BAA" w:rsidRPr="00E63B4F" w14:paraId="3DDC7CC4" w14:textId="77777777" w:rsidTr="004B65F6">
        <w:trPr>
          <w:trHeight w:val="549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6145" w14:textId="7BEBC367" w:rsidR="00931BAA" w:rsidRPr="00E63B4F" w:rsidRDefault="00B3751D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B89DA" w14:textId="3BA19378" w:rsidR="00931BAA" w:rsidRPr="00E63B4F" w:rsidRDefault="00931BAA" w:rsidP="006C794E">
            <w:pPr>
              <w:spacing w:line="312" w:lineRule="auto"/>
              <w:jc w:val="both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Thông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báo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về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việc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đấu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giá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tài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sản</w:t>
            </w:r>
            <w:proofErr w:type="spellEnd"/>
            <w:r w:rsidR="00EF7D6D"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56C50" w:rsidRPr="00E63B4F">
              <w:rPr>
                <w:rFonts w:eastAsia="Times New Roman" w:cs="Times New Roman"/>
                <w:color w:val="000000"/>
                <w:sz w:val="22"/>
              </w:rPr>
              <w:t>(</w:t>
            </w:r>
            <w:proofErr w:type="spellStart"/>
            <w:r w:rsidR="00256C50" w:rsidRPr="00E63B4F">
              <w:rPr>
                <w:rFonts w:eastAsia="Times New Roman" w:cs="Times New Roman"/>
                <w:color w:val="000000"/>
                <w:sz w:val="22"/>
              </w:rPr>
              <w:t>Lần</w:t>
            </w:r>
            <w:proofErr w:type="spellEnd"/>
            <w:r w:rsidR="00256C50"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9E0E18">
              <w:rPr>
                <w:rFonts w:eastAsia="Times New Roman" w:cs="Times New Roman"/>
                <w:color w:val="000000"/>
                <w:sz w:val="22"/>
              </w:rPr>
              <w:t>3</w:t>
            </w:r>
            <w:r w:rsidR="00256C50" w:rsidRPr="00E63B4F">
              <w:rPr>
                <w:rFonts w:eastAsia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5EB7" w14:textId="77777777" w:rsidR="00931BAA" w:rsidRPr="00E63B4F" w:rsidRDefault="00931BAA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693F" w14:textId="77777777" w:rsidR="00931BAA" w:rsidRPr="00E63B4F" w:rsidRDefault="00931BAA" w:rsidP="006F6009">
            <w:pPr>
              <w:spacing w:line="312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931BAA" w:rsidRPr="00E63B4F" w14:paraId="646975EB" w14:textId="77777777" w:rsidTr="000C584F">
        <w:trPr>
          <w:trHeight w:val="7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B2DBD" w14:textId="0428BD8C" w:rsidR="00931BAA" w:rsidRPr="00E63B4F" w:rsidRDefault="00B3751D" w:rsidP="000B2A3A">
            <w:pPr>
              <w:spacing w:line="312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90E4" w14:textId="77777777" w:rsidR="00931BAA" w:rsidRPr="00E63B4F" w:rsidRDefault="00931BAA" w:rsidP="006C794E">
            <w:pPr>
              <w:spacing w:line="312" w:lineRule="auto"/>
              <w:jc w:val="both"/>
              <w:rPr>
                <w:rFonts w:eastAsia="Times New Roman" w:cs="Times New Roman"/>
                <w:color w:val="000000"/>
              </w:rPr>
            </w:pPr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Các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hồ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sơ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tài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liệu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liên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quan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63B4F">
              <w:rPr>
                <w:rFonts w:eastAsia="Times New Roman" w:cs="Times New Roman"/>
                <w:color w:val="000000"/>
                <w:sz w:val="22"/>
              </w:rPr>
              <w:t>khác</w:t>
            </w:r>
            <w:proofErr w:type="spellEnd"/>
            <w:r w:rsidRPr="00E63B4F">
              <w:rPr>
                <w:rFonts w:eastAsia="Times New Roman" w:cs="Times New Roman"/>
                <w:color w:val="000000"/>
                <w:sz w:val="22"/>
              </w:rPr>
              <w:t>…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3D84" w14:textId="77777777" w:rsidR="00931BAA" w:rsidRPr="00E63B4F" w:rsidRDefault="00931BAA" w:rsidP="008B3315">
            <w:pPr>
              <w:spacing w:line="312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01 </w:t>
            </w:r>
            <w:proofErr w:type="spellStart"/>
            <w:r w:rsidRPr="00E63B4F">
              <w:rPr>
                <w:rFonts w:eastAsia="Times New Roman" w:cs="Times New Roman"/>
                <w:i/>
                <w:iCs/>
                <w:color w:val="000000"/>
                <w:sz w:val="22"/>
              </w:rPr>
              <w:t>bản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BDC2" w14:textId="77777777" w:rsidR="00931BAA" w:rsidRPr="00E63B4F" w:rsidRDefault="00931BAA" w:rsidP="006F6009">
            <w:pPr>
              <w:spacing w:line="312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1F274649" w14:textId="28719E1F" w:rsidR="00003635" w:rsidRPr="00913398" w:rsidRDefault="00003635" w:rsidP="00913398">
      <w:pPr>
        <w:rPr>
          <w:b/>
        </w:rPr>
      </w:pPr>
    </w:p>
    <w:sectPr w:rsidR="00003635" w:rsidRPr="00913398" w:rsidSect="008B0B0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92B3" w14:textId="77777777" w:rsidR="00264B8F" w:rsidRDefault="00264B8F" w:rsidP="00363217">
      <w:r>
        <w:separator/>
      </w:r>
    </w:p>
  </w:endnote>
  <w:endnote w:type="continuationSeparator" w:id="0">
    <w:p w14:paraId="1D75DF6E" w14:textId="77777777" w:rsidR="00264B8F" w:rsidRDefault="00264B8F" w:rsidP="0036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FB53" w14:textId="77777777" w:rsidR="00264B8F" w:rsidRDefault="00264B8F" w:rsidP="00363217">
      <w:r>
        <w:separator/>
      </w:r>
    </w:p>
  </w:footnote>
  <w:footnote w:type="continuationSeparator" w:id="0">
    <w:p w14:paraId="58D0ED38" w14:textId="77777777" w:rsidR="00264B8F" w:rsidRDefault="00264B8F" w:rsidP="0036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E63"/>
    <w:multiLevelType w:val="hybridMultilevel"/>
    <w:tmpl w:val="78640DCA"/>
    <w:lvl w:ilvl="0" w:tplc="779C2D8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6593"/>
    <w:multiLevelType w:val="hybridMultilevel"/>
    <w:tmpl w:val="830C015C"/>
    <w:lvl w:ilvl="0" w:tplc="A2F2B5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467"/>
    <w:multiLevelType w:val="hybridMultilevel"/>
    <w:tmpl w:val="F062A356"/>
    <w:lvl w:ilvl="0" w:tplc="C4DCCC3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E5AA8"/>
    <w:multiLevelType w:val="hybridMultilevel"/>
    <w:tmpl w:val="FF54FE7E"/>
    <w:lvl w:ilvl="0" w:tplc="338AAF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7397C"/>
    <w:multiLevelType w:val="hybridMultilevel"/>
    <w:tmpl w:val="91D07B5A"/>
    <w:lvl w:ilvl="0" w:tplc="1D0819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28963F2"/>
    <w:multiLevelType w:val="hybridMultilevel"/>
    <w:tmpl w:val="94F06112"/>
    <w:lvl w:ilvl="0" w:tplc="EF36A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F367C"/>
    <w:multiLevelType w:val="hybridMultilevel"/>
    <w:tmpl w:val="4E7C5C1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92115379">
    <w:abstractNumId w:val="6"/>
  </w:num>
  <w:num w:numId="2" w16cid:durableId="1107118829">
    <w:abstractNumId w:val="5"/>
  </w:num>
  <w:num w:numId="3" w16cid:durableId="95290151">
    <w:abstractNumId w:val="1"/>
  </w:num>
  <w:num w:numId="4" w16cid:durableId="1267689316">
    <w:abstractNumId w:val="4"/>
  </w:num>
  <w:num w:numId="5" w16cid:durableId="1522820309">
    <w:abstractNumId w:val="2"/>
  </w:num>
  <w:num w:numId="6" w16cid:durableId="1554535530">
    <w:abstractNumId w:val="0"/>
  </w:num>
  <w:num w:numId="7" w16cid:durableId="185653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BBA"/>
    <w:rsid w:val="00003635"/>
    <w:rsid w:val="000B2A3A"/>
    <w:rsid w:val="000C283A"/>
    <w:rsid w:val="000C584F"/>
    <w:rsid w:val="000F0327"/>
    <w:rsid w:val="000F11E0"/>
    <w:rsid w:val="000F4BE0"/>
    <w:rsid w:val="00106A31"/>
    <w:rsid w:val="00107D50"/>
    <w:rsid w:val="00112458"/>
    <w:rsid w:val="00141DBD"/>
    <w:rsid w:val="001467BC"/>
    <w:rsid w:val="00156516"/>
    <w:rsid w:val="001665AA"/>
    <w:rsid w:val="00170097"/>
    <w:rsid w:val="001761F1"/>
    <w:rsid w:val="00181EB0"/>
    <w:rsid w:val="001A2DD1"/>
    <w:rsid w:val="001B0C1B"/>
    <w:rsid w:val="00215B7C"/>
    <w:rsid w:val="00224EA9"/>
    <w:rsid w:val="00226825"/>
    <w:rsid w:val="002361D3"/>
    <w:rsid w:val="0024497C"/>
    <w:rsid w:val="00251AB7"/>
    <w:rsid w:val="00256C50"/>
    <w:rsid w:val="00264B8F"/>
    <w:rsid w:val="00266BE4"/>
    <w:rsid w:val="00272C94"/>
    <w:rsid w:val="002C15E0"/>
    <w:rsid w:val="002C66CA"/>
    <w:rsid w:val="002F3310"/>
    <w:rsid w:val="003100C9"/>
    <w:rsid w:val="00317FD7"/>
    <w:rsid w:val="00363217"/>
    <w:rsid w:val="00364749"/>
    <w:rsid w:val="003647D0"/>
    <w:rsid w:val="00383B06"/>
    <w:rsid w:val="003A44AC"/>
    <w:rsid w:val="003E5AA0"/>
    <w:rsid w:val="003F6B99"/>
    <w:rsid w:val="00407043"/>
    <w:rsid w:val="00443226"/>
    <w:rsid w:val="00470CFE"/>
    <w:rsid w:val="00480EE0"/>
    <w:rsid w:val="004A677A"/>
    <w:rsid w:val="004B3993"/>
    <w:rsid w:val="004B65F6"/>
    <w:rsid w:val="004D7988"/>
    <w:rsid w:val="004D7D77"/>
    <w:rsid w:val="004E1E75"/>
    <w:rsid w:val="0056795B"/>
    <w:rsid w:val="005A2414"/>
    <w:rsid w:val="005B49A4"/>
    <w:rsid w:val="005B62F4"/>
    <w:rsid w:val="005E4B87"/>
    <w:rsid w:val="005E7B08"/>
    <w:rsid w:val="005F2AC3"/>
    <w:rsid w:val="005F4DC5"/>
    <w:rsid w:val="00612BE2"/>
    <w:rsid w:val="0061677B"/>
    <w:rsid w:val="00622A81"/>
    <w:rsid w:val="0062600E"/>
    <w:rsid w:val="00637484"/>
    <w:rsid w:val="00637CC5"/>
    <w:rsid w:val="0064635F"/>
    <w:rsid w:val="00686969"/>
    <w:rsid w:val="00687936"/>
    <w:rsid w:val="006B25A5"/>
    <w:rsid w:val="006B5A76"/>
    <w:rsid w:val="006C1F5E"/>
    <w:rsid w:val="006C794E"/>
    <w:rsid w:val="006D4D8D"/>
    <w:rsid w:val="006E41A0"/>
    <w:rsid w:val="006E45BF"/>
    <w:rsid w:val="006E55AD"/>
    <w:rsid w:val="006F6009"/>
    <w:rsid w:val="00724F5F"/>
    <w:rsid w:val="00732638"/>
    <w:rsid w:val="00750C20"/>
    <w:rsid w:val="00766348"/>
    <w:rsid w:val="00773E40"/>
    <w:rsid w:val="007A4C68"/>
    <w:rsid w:val="007C48D8"/>
    <w:rsid w:val="007C7B43"/>
    <w:rsid w:val="007D3FA6"/>
    <w:rsid w:val="007E501C"/>
    <w:rsid w:val="00816692"/>
    <w:rsid w:val="00845343"/>
    <w:rsid w:val="00853CF4"/>
    <w:rsid w:val="008B0B06"/>
    <w:rsid w:val="008B3315"/>
    <w:rsid w:val="008B7D8A"/>
    <w:rsid w:val="008C6729"/>
    <w:rsid w:val="008F63B0"/>
    <w:rsid w:val="008F79C6"/>
    <w:rsid w:val="0090717B"/>
    <w:rsid w:val="009105B4"/>
    <w:rsid w:val="00913398"/>
    <w:rsid w:val="00931BAA"/>
    <w:rsid w:val="009472AE"/>
    <w:rsid w:val="009525D8"/>
    <w:rsid w:val="00953FBC"/>
    <w:rsid w:val="009669DF"/>
    <w:rsid w:val="009761F2"/>
    <w:rsid w:val="00996DA2"/>
    <w:rsid w:val="009B56F4"/>
    <w:rsid w:val="009D3053"/>
    <w:rsid w:val="009E0E18"/>
    <w:rsid w:val="009F52C8"/>
    <w:rsid w:val="00A36229"/>
    <w:rsid w:val="00A42BE3"/>
    <w:rsid w:val="00A97AFE"/>
    <w:rsid w:val="00AD6C90"/>
    <w:rsid w:val="00B1609F"/>
    <w:rsid w:val="00B3751D"/>
    <w:rsid w:val="00B57D2E"/>
    <w:rsid w:val="00B8750B"/>
    <w:rsid w:val="00B9067F"/>
    <w:rsid w:val="00BA735C"/>
    <w:rsid w:val="00BC5772"/>
    <w:rsid w:val="00BD2991"/>
    <w:rsid w:val="00C1490A"/>
    <w:rsid w:val="00C3557A"/>
    <w:rsid w:val="00C45790"/>
    <w:rsid w:val="00C74AC6"/>
    <w:rsid w:val="00C9788A"/>
    <w:rsid w:val="00CA0C41"/>
    <w:rsid w:val="00CC33E6"/>
    <w:rsid w:val="00CD0EA6"/>
    <w:rsid w:val="00CE574C"/>
    <w:rsid w:val="00D50D7A"/>
    <w:rsid w:val="00D86AD1"/>
    <w:rsid w:val="00DD2932"/>
    <w:rsid w:val="00E2169F"/>
    <w:rsid w:val="00E2682C"/>
    <w:rsid w:val="00E33952"/>
    <w:rsid w:val="00E3698C"/>
    <w:rsid w:val="00E43D5F"/>
    <w:rsid w:val="00E61806"/>
    <w:rsid w:val="00E63B4F"/>
    <w:rsid w:val="00E900F9"/>
    <w:rsid w:val="00E927BA"/>
    <w:rsid w:val="00EA0D59"/>
    <w:rsid w:val="00EA6C20"/>
    <w:rsid w:val="00ED599E"/>
    <w:rsid w:val="00EF6DF9"/>
    <w:rsid w:val="00EF7D6D"/>
    <w:rsid w:val="00F02269"/>
    <w:rsid w:val="00F10BDB"/>
    <w:rsid w:val="00F124A7"/>
    <w:rsid w:val="00F1610F"/>
    <w:rsid w:val="00F2257C"/>
    <w:rsid w:val="00F23D1E"/>
    <w:rsid w:val="00F30373"/>
    <w:rsid w:val="00F443D1"/>
    <w:rsid w:val="00F81F54"/>
    <w:rsid w:val="00FA3846"/>
    <w:rsid w:val="00FA6AA0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0B96"/>
  <w15:docId w15:val="{A4A19B8D-804F-4955-940A-5F34DAA5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BA"/>
    <w:pPr>
      <w:spacing w:line="240" w:lineRule="auto"/>
      <w:jc w:val="left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BB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4BBA"/>
    <w:pPr>
      <w:tabs>
        <w:tab w:val="center" w:pos="4153"/>
        <w:tab w:val="right" w:pos="8306"/>
      </w:tabs>
      <w:autoSpaceDE w:val="0"/>
      <w:autoSpaceDN w:val="0"/>
    </w:pPr>
    <w:rPr>
      <w:rFonts w:ascii=".VnTime" w:eastAsia="Times New Roman" w:hAnsi=".VnTime" w:cs=".VnTime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F4BBA"/>
    <w:rPr>
      <w:rFonts w:ascii=".VnTime" w:eastAsia="Times New Roman" w:hAnsi=".VnTime" w:cs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35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272C9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3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21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4A67-E4D2-4460-9BFD-53C4E44B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131</cp:revision>
  <cp:lastPrinted>2025-07-22T03:48:00Z</cp:lastPrinted>
  <dcterms:created xsi:type="dcterms:W3CDTF">2017-01-05T08:59:00Z</dcterms:created>
  <dcterms:modified xsi:type="dcterms:W3CDTF">2025-09-04T04:05:00Z</dcterms:modified>
</cp:coreProperties>
</file>